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WYKAZ</w:t>
      </w:r>
    </w:p>
    <w:p>
      <w:pPr>
        <w:pStyle w:val="Normal"/>
        <w:jc w:val="center"/>
        <w:rPr/>
      </w:pPr>
      <w:r>
        <w:rPr>
          <w:b/>
          <w:bCs/>
        </w:rPr>
        <w:t xml:space="preserve">nieruchomości stanowiących własność </w:t>
      </w:r>
      <w:r>
        <w:rPr>
          <w:rFonts w:eastAsia="Times New Roman" w:cs="Times New Roman"/>
          <w:b/>
          <w:bCs/>
          <w:color w:val="auto"/>
          <w:sz w:val="20"/>
          <w:szCs w:val="20"/>
          <w:lang w:val="pl-PL" w:bidi="ar-SA"/>
        </w:rPr>
        <w:t>Miasta Wodzisławia Śląskiego,</w:t>
      </w:r>
      <w:r>
        <w:rPr>
          <w:b/>
          <w:bCs/>
        </w:rPr>
        <w:t xml:space="preserve">  przeznaczonych do oddania w najem </w:t>
      </w:r>
    </w:p>
    <w:p>
      <w:pPr>
        <w:pStyle w:val="Normal"/>
        <w:jc w:val="center"/>
        <w:rPr/>
      </w:pPr>
      <w:r>
        <w:rPr/>
        <w:t xml:space="preserve">Działając na podstawie art. 35. ust. 1 i 2  ustawy z dnia 21 sierpnia 1997 r. o gospodarce nieruchomościami (tekst jednolity z </w:t>
      </w:r>
      <w:r>
        <w:rPr>
          <w:shd w:fill="FCFCFC" w:val="clear"/>
        </w:rPr>
        <w:t>Dz.U. z  2024 r., poz. 1145 ze zmianami</w:t>
      </w:r>
      <w:r>
        <w:rPr/>
        <w:t>)</w:t>
      </w:r>
      <w:r>
        <w:rPr>
          <w:shd w:fill="FCFCFC" w:val="clear"/>
        </w:rPr>
        <w:t xml:space="preserve"> </w:t>
      </w:r>
      <w:r>
        <w:rPr/>
        <w:t xml:space="preserve">podaje się do publicznej wiadomości wykaz niżej wymienionej nieruchomości:                                                  </w:t>
      </w:r>
    </w:p>
    <w:p>
      <w:pPr>
        <w:pStyle w:val="Normal"/>
        <w:jc w:val="center"/>
        <w:rPr/>
      </w:pPr>
      <w:r>
        <w:rPr/>
      </w:r>
    </w:p>
    <w:tbl>
      <w:tblPr>
        <w:tblW w:w="14745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783"/>
        <w:gridCol w:w="1642"/>
        <w:gridCol w:w="820"/>
        <w:gridCol w:w="1200"/>
        <w:gridCol w:w="2039"/>
        <w:gridCol w:w="2753"/>
        <w:gridCol w:w="2305"/>
        <w:gridCol w:w="1692"/>
      </w:tblGrid>
      <w:tr>
        <w:trPr>
          <w:trHeight w:val="79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Nr działki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oraz oznaczenie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księdze wieczystej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Powierzchnia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m2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Karta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Obręb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Położenie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nieruchomości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Przeznaczenie przedmiotu najmu wraz z opisem lokalu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Cena m2 najmu miesięcznie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+ 23% VAT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Okres obowiązywania umowy</w:t>
            </w:r>
          </w:p>
        </w:tc>
      </w:tr>
      <w:tr>
        <w:trPr>
          <w:trHeight w:val="84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1.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2115/138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GL1W/00010025/5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20,83 </w:t>
            </w:r>
            <w:r>
              <w:rPr>
                <w:sz w:val="20"/>
                <w:szCs w:val="20"/>
              </w:rPr>
              <w:t>m</w:t>
            </w:r>
            <w:r>
              <w:rPr>
                <w:rFonts w:eastAsia="Times New Roman" w:cs="Times New Roman"/>
                <w:sz w:val="20"/>
                <w:szCs w:val="20"/>
              </w:rPr>
              <w:t>²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Wodzisław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  <w:t>ul. Bolesława Prusa 12</w:t>
            </w:r>
          </w:p>
        </w:tc>
        <w:tc>
          <w:tcPr>
            <w:tcW w:w="2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Garaż usytuowany w budynku Wspólnoty Mieszkaniowej. Składa się z pomieszczenia przeznaczonego na garażowanie pojazdu.  </w:t>
            </w:r>
          </w:p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8,81 zł/m² netto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3 lata </w:t>
            </w:r>
          </w:p>
        </w:tc>
      </w:tr>
      <w:tr>
        <w:trPr>
          <w:trHeight w:val="473" w:hRule="atLeast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Zasady aktualizacji stawek czynszu najmu: </w:t>
            </w:r>
            <w:r>
              <w:rPr/>
              <w:t>Stawki czynszu najmu wzrosną po upływie każdego roku kalendarzowego według średniorocznego wskaźnika cen towarów i usług konsumpcyjnych za rok ubiegły wg danych ogłoszonych przez Główny Urząd Statystyczny w Monitorze Polskim.</w:t>
            </w:r>
          </w:p>
        </w:tc>
      </w:tr>
      <w:tr>
        <w:trPr>
          <w:trHeight w:val="311" w:hRule="atLeast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Opłaty eksploatacyjne</w:t>
            </w:r>
            <w:r>
              <w:rPr/>
              <w:t>: Najemca zobowiązany jest do ponoszenia opłat eksploatacyjnych niezależnych od Wynajmującego (media, podatek od nieruchomości).</w:t>
            </w:r>
          </w:p>
        </w:tc>
      </w:tr>
      <w:tr>
        <w:trPr>
          <w:trHeight w:val="274" w:hRule="atLeast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Czynsz najmu  oraz opłaty eksploatacyjne powiększone o podatek VAT płatne są przez Najemcę z góry do 15-go dnia każdego miesiąca na konto Wynajmującego.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Wykaz wywiesza się  na tablicy ogłoszeń w siedzibie …Domaro Spółka z o.o. oraz Urzędu Miasta Wodzisławia Śl. na okres 21 dni tj. od 10.06.2025 r. do 30.06.2025 r.</w:t>
      </w:r>
    </w:p>
    <w:p>
      <w:pPr>
        <w:pStyle w:val="Normal"/>
        <w:jc w:val="both"/>
        <w:rPr/>
      </w:pPr>
      <w:r>
        <w:rPr/>
        <w:t xml:space="preserve">Wodzisław Śl., dnia 10.06.2025 r.                                                                                                                                              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sectPr>
      <w:type w:val="nextPage"/>
      <w:pgSz w:orient="landscape" w:w="16838" w:h="11906"/>
      <w:pgMar w:left="1134" w:right="1134" w:gutter="0" w:header="0" w:top="1275" w:footer="0" w:bottom="46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563</TotalTime>
  <Application>LibreOffice/7.4.4.2$Windows_X86_64 LibreOffice_project/85569322deea74ec9134968a29af2df5663baa21</Application>
  <AppVersion>15.0000</AppVersion>
  <Pages>1</Pages>
  <Words>222</Words>
  <Characters>1327</Characters>
  <CharactersWithSpaces>1718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2021-07-26T14:54:00Z</dcterms:created>
  <dc:creator>Marta</dc:creator>
  <dc:description/>
  <cp:keywords> </cp:keywords>
  <dc:language>pl-PL</dc:language>
  <cp:lastModifiedBy/>
  <cp:lastPrinted>2025-06-09T13:04:58Z</cp:lastPrinted>
  <dcterms:modified xsi:type="dcterms:W3CDTF">2025-06-09T13:05:03Z</dcterms:modified>
  <cp:revision>63</cp:revision>
  <dc:subject/>
  <dc:title>WYKAZ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